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F30F" w14:textId="15D0F5D8" w:rsidR="002B5C67" w:rsidRPr="002D6D48" w:rsidRDefault="002B5C67">
      <w:pPr>
        <w:jc w:val="center"/>
        <w:rPr>
          <w:b/>
          <w:bCs/>
          <w:sz w:val="40"/>
          <w:szCs w:val="40"/>
        </w:rPr>
      </w:pPr>
      <w:r w:rsidRPr="002D6D48">
        <w:rPr>
          <w:b/>
          <w:bCs/>
          <w:sz w:val="40"/>
          <w:szCs w:val="40"/>
        </w:rPr>
        <w:t xml:space="preserve">Notice of Intent to Adopt a </w:t>
      </w:r>
      <w:r w:rsidR="002D6D48" w:rsidRPr="002D6D48">
        <w:rPr>
          <w:b/>
          <w:bCs/>
          <w:sz w:val="40"/>
          <w:szCs w:val="40"/>
        </w:rPr>
        <w:t>Mitigated</w:t>
      </w:r>
      <w:r w:rsidR="002D6D48">
        <w:rPr>
          <w:b/>
          <w:bCs/>
          <w:sz w:val="40"/>
          <w:szCs w:val="40"/>
        </w:rPr>
        <w:t xml:space="preserve"> </w:t>
      </w:r>
      <w:r w:rsidRPr="002D6D48">
        <w:rPr>
          <w:b/>
          <w:bCs/>
          <w:sz w:val="40"/>
          <w:szCs w:val="40"/>
        </w:rPr>
        <w:t>Negative Declaration</w:t>
      </w:r>
    </w:p>
    <w:p w14:paraId="1FD15AE5" w14:textId="77777777" w:rsidR="002B5C67" w:rsidRPr="007E2777" w:rsidRDefault="002B5C67">
      <w:pPr>
        <w:jc w:val="center"/>
        <w:rPr>
          <w:sz w:val="24"/>
          <w:szCs w:val="24"/>
        </w:rPr>
      </w:pPr>
    </w:p>
    <w:p w14:paraId="1EAFF022" w14:textId="77777777" w:rsidR="002D6D48" w:rsidRPr="007E2777" w:rsidRDefault="002B5C67">
      <w:pPr>
        <w:ind w:left="720"/>
        <w:jc w:val="center"/>
        <w:rPr>
          <w:b/>
          <w:bCs/>
          <w:sz w:val="24"/>
          <w:szCs w:val="24"/>
          <w:u w:val="single"/>
        </w:rPr>
      </w:pPr>
      <w:r w:rsidRPr="007E2777">
        <w:rPr>
          <w:b/>
          <w:bCs/>
          <w:sz w:val="24"/>
          <w:szCs w:val="24"/>
          <w:u w:val="single"/>
        </w:rPr>
        <w:t xml:space="preserve">Project Description:   </w:t>
      </w:r>
    </w:p>
    <w:p w14:paraId="3D98D1DE" w14:textId="0BBF62F3" w:rsidR="002B5C67" w:rsidRPr="007E2777" w:rsidRDefault="002D6D48">
      <w:pPr>
        <w:ind w:left="720"/>
        <w:jc w:val="center"/>
        <w:rPr>
          <w:b/>
          <w:bCs/>
          <w:sz w:val="24"/>
          <w:szCs w:val="24"/>
        </w:rPr>
      </w:pPr>
      <w:r w:rsidRPr="007E2777">
        <w:rPr>
          <w:b/>
          <w:bCs/>
          <w:sz w:val="24"/>
          <w:szCs w:val="24"/>
          <w:u w:val="single"/>
        </w:rPr>
        <w:t>City of Dunsmuir General Plan Update of the Safety Element</w:t>
      </w:r>
      <w:r w:rsidR="002B5C67" w:rsidRPr="007E2777">
        <w:rPr>
          <w:b/>
          <w:bCs/>
          <w:sz w:val="24"/>
          <w:szCs w:val="24"/>
        </w:rPr>
        <w:t>.</w:t>
      </w:r>
    </w:p>
    <w:p w14:paraId="2AB800D9" w14:textId="77777777" w:rsidR="002B5C67" w:rsidRPr="007E2777" w:rsidRDefault="002B5C67">
      <w:pPr>
        <w:ind w:left="720"/>
        <w:rPr>
          <w:sz w:val="24"/>
          <w:szCs w:val="24"/>
        </w:rPr>
      </w:pPr>
    </w:p>
    <w:p w14:paraId="70055E72" w14:textId="03C3E51E" w:rsidR="002B5C67" w:rsidRPr="007E2777" w:rsidRDefault="002D6D48">
      <w:pPr>
        <w:ind w:left="720"/>
        <w:rPr>
          <w:bCs/>
          <w:sz w:val="24"/>
          <w:szCs w:val="24"/>
        </w:rPr>
      </w:pPr>
      <w:r w:rsidRPr="007E2777">
        <w:rPr>
          <w:bCs/>
          <w:sz w:val="24"/>
          <w:szCs w:val="24"/>
        </w:rPr>
        <w:t xml:space="preserve">The Safety Element update </w:t>
      </w:r>
      <w:r w:rsidR="00576106" w:rsidRPr="007E2777">
        <w:rPr>
          <w:bCs/>
          <w:sz w:val="24"/>
          <w:szCs w:val="24"/>
        </w:rPr>
        <w:t>involves</w:t>
      </w:r>
      <w:r w:rsidRPr="007E2777">
        <w:rPr>
          <w:bCs/>
          <w:sz w:val="24"/>
          <w:szCs w:val="24"/>
        </w:rPr>
        <w:t xml:space="preserve"> inclusion of new issues</w:t>
      </w:r>
      <w:r w:rsidR="00576106" w:rsidRPr="007E2777">
        <w:rPr>
          <w:bCs/>
          <w:sz w:val="24"/>
          <w:szCs w:val="24"/>
        </w:rPr>
        <w:t xml:space="preserve"> such as air quality and impacts of climate change</w:t>
      </w:r>
      <w:r w:rsidRPr="007E2777">
        <w:rPr>
          <w:bCs/>
          <w:sz w:val="24"/>
          <w:szCs w:val="24"/>
        </w:rPr>
        <w:t>, and revision of existing issues</w:t>
      </w:r>
      <w:r w:rsidR="00576106" w:rsidRPr="007E2777">
        <w:rPr>
          <w:bCs/>
          <w:sz w:val="24"/>
          <w:szCs w:val="24"/>
        </w:rPr>
        <w:t xml:space="preserve"> State Law, such as Wildfire and Hazardous Waste. </w:t>
      </w:r>
    </w:p>
    <w:p w14:paraId="0D394FBF" w14:textId="6AB50D6E" w:rsidR="00576106" w:rsidRPr="007E2777" w:rsidRDefault="00576106">
      <w:pPr>
        <w:ind w:left="720"/>
        <w:rPr>
          <w:bCs/>
          <w:sz w:val="24"/>
          <w:szCs w:val="24"/>
        </w:rPr>
      </w:pPr>
    </w:p>
    <w:p w14:paraId="3ED113E5" w14:textId="426F207D" w:rsidR="00576106" w:rsidRPr="007E2777" w:rsidRDefault="00576106">
      <w:pPr>
        <w:ind w:left="720"/>
        <w:rPr>
          <w:bCs/>
          <w:sz w:val="24"/>
          <w:szCs w:val="24"/>
        </w:rPr>
      </w:pPr>
      <w:r w:rsidRPr="007E2777">
        <w:rPr>
          <w:bCs/>
          <w:sz w:val="24"/>
          <w:szCs w:val="24"/>
        </w:rPr>
        <w:t>Location: Entire city of Dunsmuir. See attached map</w:t>
      </w:r>
    </w:p>
    <w:p w14:paraId="7471A052" w14:textId="77777777" w:rsidR="002B5C67" w:rsidRPr="007E2777" w:rsidRDefault="002B5C67">
      <w:pPr>
        <w:ind w:left="720"/>
        <w:rPr>
          <w:bCs/>
          <w:sz w:val="24"/>
          <w:szCs w:val="24"/>
        </w:rPr>
      </w:pPr>
      <w:r w:rsidRPr="007E2777">
        <w:rPr>
          <w:bCs/>
          <w:sz w:val="24"/>
          <w:szCs w:val="24"/>
        </w:rPr>
        <w:t xml:space="preserve">Project Applicant:  </w:t>
      </w:r>
      <w:r w:rsidR="004553BA" w:rsidRPr="007E2777">
        <w:rPr>
          <w:bCs/>
          <w:sz w:val="24"/>
          <w:szCs w:val="24"/>
        </w:rPr>
        <w:t>City of Dunsmuir, CA</w:t>
      </w:r>
    </w:p>
    <w:p w14:paraId="63B1B10D" w14:textId="77777777" w:rsidR="002B5C67" w:rsidRPr="007E2777" w:rsidRDefault="002B5C67">
      <w:pPr>
        <w:ind w:left="720"/>
        <w:rPr>
          <w:bCs/>
          <w:sz w:val="24"/>
          <w:szCs w:val="24"/>
        </w:rPr>
      </w:pPr>
      <w:r w:rsidRPr="007E2777">
        <w:rPr>
          <w:bCs/>
          <w:sz w:val="24"/>
          <w:szCs w:val="24"/>
        </w:rPr>
        <w:t xml:space="preserve">Lead Agency:  </w:t>
      </w:r>
      <w:r w:rsidR="004553BA" w:rsidRPr="007E2777">
        <w:rPr>
          <w:bCs/>
          <w:sz w:val="24"/>
          <w:szCs w:val="24"/>
        </w:rPr>
        <w:t>City of Dunsmuir, CA</w:t>
      </w:r>
    </w:p>
    <w:p w14:paraId="32E23177" w14:textId="275D13B2" w:rsidR="002B5C67" w:rsidRPr="007E2777" w:rsidRDefault="002B5C67">
      <w:pPr>
        <w:ind w:left="720"/>
        <w:rPr>
          <w:bCs/>
          <w:sz w:val="24"/>
          <w:szCs w:val="24"/>
        </w:rPr>
      </w:pPr>
    </w:p>
    <w:p w14:paraId="2D6FCB70" w14:textId="4D80B460" w:rsidR="00157A80" w:rsidRPr="007E2777" w:rsidRDefault="00576106">
      <w:pPr>
        <w:ind w:left="720"/>
        <w:rPr>
          <w:bCs/>
          <w:sz w:val="24"/>
          <w:szCs w:val="24"/>
        </w:rPr>
      </w:pPr>
      <w:r w:rsidRPr="007E2777">
        <w:rPr>
          <w:bCs/>
          <w:sz w:val="24"/>
          <w:szCs w:val="24"/>
        </w:rPr>
        <w:t xml:space="preserve">The City of Dunsmuir finds that the project will not have a significant effect on the environment </w:t>
      </w:r>
      <w:r w:rsidR="00157A80" w:rsidRPr="007E2777">
        <w:rPr>
          <w:bCs/>
          <w:sz w:val="24"/>
          <w:szCs w:val="24"/>
        </w:rPr>
        <w:t>because of mitigation measures that will be required</w:t>
      </w:r>
      <w:r w:rsidR="00C6537E">
        <w:rPr>
          <w:bCs/>
          <w:sz w:val="24"/>
          <w:szCs w:val="24"/>
        </w:rPr>
        <w:t>, as follows</w:t>
      </w:r>
      <w:r w:rsidR="00ED38C6" w:rsidRPr="007E2777">
        <w:rPr>
          <w:bCs/>
          <w:sz w:val="24"/>
          <w:szCs w:val="24"/>
        </w:rPr>
        <w:t xml:space="preserve">. </w:t>
      </w:r>
      <w:r w:rsidR="00157A80" w:rsidRPr="007E2777">
        <w:rPr>
          <w:bCs/>
          <w:sz w:val="24"/>
          <w:szCs w:val="24"/>
        </w:rPr>
        <w:t>See the entire Initial Study for more detail.</w:t>
      </w:r>
    </w:p>
    <w:p w14:paraId="1EC27CC7" w14:textId="11A6E567" w:rsidR="00C6537E" w:rsidRPr="00C6537E" w:rsidRDefault="00C6537E" w:rsidP="00C6537E">
      <w:pPr>
        <w:ind w:left="1440"/>
        <w:rPr>
          <w:bCs/>
          <w:sz w:val="22"/>
          <w:szCs w:val="22"/>
        </w:rPr>
      </w:pPr>
      <w:r w:rsidRPr="00C6537E">
        <w:rPr>
          <w:bCs/>
          <w:sz w:val="22"/>
          <w:szCs w:val="22"/>
        </w:rPr>
        <w:t>I a) and c)</w:t>
      </w:r>
      <w:r w:rsidRPr="00C6537E">
        <w:rPr>
          <w:bCs/>
          <w:sz w:val="22"/>
          <w:szCs w:val="22"/>
        </w:rPr>
        <w:tab/>
        <w:t>Work in the Sacramento River area that may de designed at a future date for diversion or flood retention must consider aesthetic impacts during the design phase and in the CEQA review phase.</w:t>
      </w:r>
    </w:p>
    <w:p w14:paraId="263997EA" w14:textId="77777777" w:rsidR="00C6537E" w:rsidRPr="00C6537E" w:rsidRDefault="00C6537E" w:rsidP="00C6537E">
      <w:pPr>
        <w:ind w:left="1440"/>
        <w:rPr>
          <w:bCs/>
          <w:sz w:val="22"/>
          <w:szCs w:val="22"/>
        </w:rPr>
      </w:pPr>
    </w:p>
    <w:p w14:paraId="0A85B9A3" w14:textId="77777777" w:rsidR="00C6537E" w:rsidRPr="00C6537E" w:rsidRDefault="00C6537E" w:rsidP="00C6537E">
      <w:pPr>
        <w:ind w:left="1440"/>
        <w:rPr>
          <w:bCs/>
          <w:sz w:val="22"/>
          <w:szCs w:val="22"/>
        </w:rPr>
      </w:pPr>
      <w:r w:rsidRPr="00C6537E">
        <w:rPr>
          <w:bCs/>
          <w:sz w:val="22"/>
          <w:szCs w:val="22"/>
        </w:rPr>
        <w:t>IV a) and b) and c)</w:t>
      </w:r>
      <w:r w:rsidRPr="00C6537E">
        <w:rPr>
          <w:bCs/>
          <w:sz w:val="22"/>
          <w:szCs w:val="22"/>
        </w:rPr>
        <w:tab/>
        <w:t>Work in the Sacramento River area that may de designed at a future date for diversion or flood retention must consider biological resources during the design phase and in the CEQA review phase.</w:t>
      </w:r>
    </w:p>
    <w:p w14:paraId="472F5C95" w14:textId="77777777" w:rsidR="00C6537E" w:rsidRPr="00C6537E" w:rsidRDefault="00C6537E" w:rsidP="00C6537E">
      <w:pPr>
        <w:ind w:left="1440"/>
        <w:rPr>
          <w:bCs/>
          <w:sz w:val="22"/>
          <w:szCs w:val="22"/>
        </w:rPr>
      </w:pPr>
    </w:p>
    <w:p w14:paraId="7EFFAD12" w14:textId="4ABB4C8D" w:rsidR="00C6537E" w:rsidRPr="00C6537E" w:rsidRDefault="00C6537E" w:rsidP="00C6537E">
      <w:pPr>
        <w:ind w:left="1440"/>
        <w:rPr>
          <w:bCs/>
          <w:sz w:val="22"/>
          <w:szCs w:val="22"/>
        </w:rPr>
      </w:pPr>
      <w:r w:rsidRPr="00C6537E">
        <w:rPr>
          <w:bCs/>
          <w:sz w:val="22"/>
          <w:szCs w:val="22"/>
        </w:rPr>
        <w:t xml:space="preserve">IV d) </w:t>
      </w:r>
      <w:r w:rsidRPr="00C6537E">
        <w:rPr>
          <w:bCs/>
          <w:sz w:val="22"/>
          <w:szCs w:val="22"/>
        </w:rPr>
        <w:tab/>
      </w:r>
      <w:r w:rsidRPr="00C6537E">
        <w:rPr>
          <w:bCs/>
          <w:sz w:val="22"/>
          <w:szCs w:val="22"/>
        </w:rPr>
        <w:tab/>
        <w:t>None of the work in the Safety Element will be allowed to interrupt migration of species or impede the use of native wildlife nursery sites.</w:t>
      </w:r>
    </w:p>
    <w:p w14:paraId="319F8FCA" w14:textId="77777777" w:rsidR="00C6537E" w:rsidRPr="00C6537E" w:rsidRDefault="00C6537E" w:rsidP="00C6537E">
      <w:pPr>
        <w:ind w:left="1440"/>
        <w:rPr>
          <w:bCs/>
          <w:sz w:val="22"/>
          <w:szCs w:val="22"/>
        </w:rPr>
      </w:pPr>
    </w:p>
    <w:p w14:paraId="515C02C9" w14:textId="77777777" w:rsidR="00C6537E" w:rsidRPr="00C6537E" w:rsidRDefault="00C6537E" w:rsidP="00C6537E">
      <w:pPr>
        <w:ind w:left="1440"/>
        <w:rPr>
          <w:bCs/>
          <w:sz w:val="22"/>
          <w:szCs w:val="22"/>
        </w:rPr>
      </w:pPr>
      <w:r w:rsidRPr="00C6537E">
        <w:rPr>
          <w:bCs/>
          <w:sz w:val="22"/>
          <w:szCs w:val="22"/>
        </w:rPr>
        <w:t>V b) and c) and d)</w:t>
      </w:r>
      <w:r w:rsidRPr="00C6537E">
        <w:rPr>
          <w:bCs/>
          <w:sz w:val="22"/>
          <w:szCs w:val="22"/>
        </w:rPr>
        <w:tab/>
        <w:t>Any projects that require ground disturbance and uncover archeological or paleontological artifacts or human remains will temporarily halt the project to provide time to document and analyze the artifacts prior to continuing with the project, and to impose any necessary additional mitigation measures at that time.</w:t>
      </w:r>
    </w:p>
    <w:p w14:paraId="51E3C105" w14:textId="77777777" w:rsidR="00C6537E" w:rsidRPr="00C6537E" w:rsidRDefault="00C6537E" w:rsidP="00C6537E">
      <w:pPr>
        <w:ind w:left="1440"/>
        <w:rPr>
          <w:bCs/>
          <w:sz w:val="22"/>
          <w:szCs w:val="22"/>
        </w:rPr>
      </w:pPr>
    </w:p>
    <w:p w14:paraId="2970BB27" w14:textId="426B9A6E" w:rsidR="00C6537E" w:rsidRPr="00C6537E" w:rsidRDefault="00C6537E" w:rsidP="00C6537E">
      <w:pPr>
        <w:ind w:left="1440"/>
        <w:rPr>
          <w:bCs/>
          <w:sz w:val="22"/>
          <w:szCs w:val="22"/>
        </w:rPr>
      </w:pPr>
      <w:r w:rsidRPr="00C6537E">
        <w:rPr>
          <w:bCs/>
          <w:sz w:val="22"/>
          <w:szCs w:val="22"/>
        </w:rPr>
        <w:t>VII a)</w:t>
      </w:r>
      <w:r w:rsidRPr="00C6537E">
        <w:rPr>
          <w:bCs/>
          <w:sz w:val="22"/>
          <w:szCs w:val="22"/>
        </w:rPr>
        <w:tab/>
      </w:r>
      <w:r w:rsidRPr="00C6537E">
        <w:rPr>
          <w:bCs/>
          <w:sz w:val="22"/>
          <w:szCs w:val="22"/>
        </w:rPr>
        <w:tab/>
        <w:t xml:space="preserve">An environmental review will be performed at the time of any bridge project or diversion project review and </w:t>
      </w:r>
      <w:proofErr w:type="gramStart"/>
      <w:r w:rsidRPr="00C6537E">
        <w:rPr>
          <w:bCs/>
          <w:sz w:val="22"/>
          <w:szCs w:val="22"/>
        </w:rPr>
        <w:t>approval, and</w:t>
      </w:r>
      <w:proofErr w:type="gramEnd"/>
      <w:r w:rsidRPr="00C6537E">
        <w:rPr>
          <w:bCs/>
          <w:sz w:val="22"/>
          <w:szCs w:val="22"/>
        </w:rPr>
        <w:t xml:space="preserve"> shall include air quality impacts from traffic delays and construction equipment.</w:t>
      </w:r>
    </w:p>
    <w:p w14:paraId="64C894F1" w14:textId="77777777" w:rsidR="00C6537E" w:rsidRPr="00C6537E" w:rsidRDefault="00C6537E" w:rsidP="00C6537E">
      <w:pPr>
        <w:ind w:left="1440"/>
        <w:rPr>
          <w:bCs/>
          <w:sz w:val="22"/>
          <w:szCs w:val="22"/>
        </w:rPr>
      </w:pPr>
    </w:p>
    <w:p w14:paraId="7E06D037" w14:textId="77777777" w:rsidR="00C6537E" w:rsidRPr="00C6537E" w:rsidRDefault="00C6537E" w:rsidP="00C6537E">
      <w:pPr>
        <w:ind w:left="1440"/>
        <w:rPr>
          <w:bCs/>
          <w:sz w:val="22"/>
          <w:szCs w:val="22"/>
        </w:rPr>
      </w:pPr>
      <w:r w:rsidRPr="00C6537E">
        <w:rPr>
          <w:bCs/>
          <w:sz w:val="22"/>
          <w:szCs w:val="22"/>
        </w:rPr>
        <w:t>VIII d)</w:t>
      </w:r>
      <w:r w:rsidRPr="00C6537E">
        <w:rPr>
          <w:bCs/>
          <w:sz w:val="22"/>
          <w:szCs w:val="22"/>
        </w:rPr>
        <w:tab/>
      </w:r>
      <w:r w:rsidRPr="00C6537E">
        <w:rPr>
          <w:bCs/>
          <w:sz w:val="22"/>
          <w:szCs w:val="22"/>
        </w:rPr>
        <w:tab/>
        <w:t xml:space="preserve">Any projects that would alter stream flow or drainage courses shall be designed </w:t>
      </w:r>
      <w:proofErr w:type="gramStart"/>
      <w:r w:rsidRPr="00C6537E">
        <w:rPr>
          <w:bCs/>
          <w:sz w:val="22"/>
          <w:szCs w:val="22"/>
        </w:rPr>
        <w:t>so as to</w:t>
      </w:r>
      <w:proofErr w:type="gramEnd"/>
      <w:r w:rsidRPr="00C6537E">
        <w:rPr>
          <w:bCs/>
          <w:sz w:val="22"/>
          <w:szCs w:val="22"/>
        </w:rPr>
        <w:t xml:space="preserve"> not inundate the cleanup site on UP property (known as RB Case # SLT5R1087), in order to prevent river water contamination. </w:t>
      </w:r>
    </w:p>
    <w:p w14:paraId="666ED90C" w14:textId="77777777" w:rsidR="00C6537E" w:rsidRPr="00C6537E" w:rsidRDefault="00C6537E" w:rsidP="00C6537E">
      <w:pPr>
        <w:ind w:left="1440"/>
        <w:rPr>
          <w:bCs/>
          <w:sz w:val="22"/>
          <w:szCs w:val="22"/>
        </w:rPr>
      </w:pPr>
    </w:p>
    <w:p w14:paraId="45897FFE" w14:textId="03A740BF" w:rsidR="00C6537E" w:rsidRPr="00C6537E" w:rsidRDefault="00C6537E" w:rsidP="00C6537E">
      <w:pPr>
        <w:ind w:left="1440"/>
        <w:rPr>
          <w:bCs/>
          <w:sz w:val="22"/>
          <w:szCs w:val="22"/>
        </w:rPr>
      </w:pPr>
      <w:r w:rsidRPr="00C6537E">
        <w:rPr>
          <w:bCs/>
          <w:sz w:val="22"/>
          <w:szCs w:val="22"/>
        </w:rPr>
        <w:t>IX f)</w:t>
      </w:r>
      <w:r w:rsidRPr="00C6537E">
        <w:rPr>
          <w:bCs/>
          <w:sz w:val="22"/>
          <w:szCs w:val="22"/>
        </w:rPr>
        <w:tab/>
      </w:r>
      <w:r w:rsidRPr="00C6537E">
        <w:rPr>
          <w:bCs/>
          <w:sz w:val="22"/>
          <w:szCs w:val="22"/>
        </w:rPr>
        <w:tab/>
        <w:t>A SWPP shall be prepared for all construction projects within the Sacramento River drainage area.</w:t>
      </w:r>
    </w:p>
    <w:p w14:paraId="47001CEC" w14:textId="77777777" w:rsidR="00C6537E" w:rsidRPr="00C6537E" w:rsidRDefault="00C6537E" w:rsidP="00C6537E">
      <w:pPr>
        <w:ind w:left="1440"/>
        <w:rPr>
          <w:bCs/>
          <w:sz w:val="22"/>
          <w:szCs w:val="22"/>
        </w:rPr>
      </w:pPr>
    </w:p>
    <w:p w14:paraId="6A6267EB" w14:textId="4D62CC5A" w:rsidR="00C6537E" w:rsidRPr="00C6537E" w:rsidRDefault="00C6537E" w:rsidP="00C6537E">
      <w:pPr>
        <w:ind w:left="1440"/>
        <w:rPr>
          <w:bCs/>
          <w:sz w:val="22"/>
          <w:szCs w:val="22"/>
        </w:rPr>
      </w:pPr>
      <w:r w:rsidRPr="00C6537E">
        <w:rPr>
          <w:bCs/>
          <w:sz w:val="22"/>
          <w:szCs w:val="22"/>
        </w:rPr>
        <w:t>XII a), d) and e)</w:t>
      </w:r>
      <w:r>
        <w:rPr>
          <w:bCs/>
          <w:sz w:val="22"/>
          <w:szCs w:val="22"/>
        </w:rPr>
        <w:t xml:space="preserve"> </w:t>
      </w:r>
      <w:r w:rsidRPr="00C6537E">
        <w:rPr>
          <w:bCs/>
          <w:sz w:val="22"/>
          <w:szCs w:val="22"/>
        </w:rPr>
        <w:tab/>
        <w:t>Work that may be designed at a future date for diversion or flood retention must consider ground-borne noise and/or vibration impacts during the design phase and in the CEQA review phase.</w:t>
      </w:r>
    </w:p>
    <w:p w14:paraId="47D70408" w14:textId="77777777" w:rsidR="00C6537E" w:rsidRPr="007E2777" w:rsidRDefault="00C6537E">
      <w:pPr>
        <w:ind w:left="720"/>
        <w:rPr>
          <w:bCs/>
          <w:sz w:val="24"/>
          <w:szCs w:val="24"/>
        </w:rPr>
      </w:pPr>
    </w:p>
    <w:p w14:paraId="2A9071BB" w14:textId="6E5FD110" w:rsidR="002B5C67" w:rsidRPr="007E2777" w:rsidRDefault="002B5C67">
      <w:pPr>
        <w:ind w:left="720"/>
        <w:rPr>
          <w:bCs/>
          <w:sz w:val="24"/>
          <w:szCs w:val="24"/>
        </w:rPr>
      </w:pPr>
      <w:r w:rsidRPr="007E2777">
        <w:rPr>
          <w:bCs/>
          <w:sz w:val="24"/>
          <w:szCs w:val="24"/>
        </w:rPr>
        <w:t xml:space="preserve">Review Period:  </w:t>
      </w:r>
      <w:r w:rsidR="002D6D48" w:rsidRPr="007E2777">
        <w:rPr>
          <w:bCs/>
          <w:sz w:val="24"/>
          <w:szCs w:val="24"/>
        </w:rPr>
        <w:t xml:space="preserve">March 13, 2019 to </w:t>
      </w:r>
      <w:r w:rsidR="00576106" w:rsidRPr="007E2777">
        <w:rPr>
          <w:bCs/>
          <w:sz w:val="24"/>
          <w:szCs w:val="24"/>
        </w:rPr>
        <w:t>May 17, 2019</w:t>
      </w:r>
    </w:p>
    <w:p w14:paraId="66582C18" w14:textId="1AD93FB7" w:rsidR="002B5C67" w:rsidRPr="007E2777" w:rsidRDefault="002B5C67">
      <w:pPr>
        <w:ind w:left="720"/>
        <w:rPr>
          <w:bCs/>
          <w:sz w:val="24"/>
          <w:szCs w:val="24"/>
        </w:rPr>
      </w:pPr>
      <w:r w:rsidRPr="007E2777">
        <w:rPr>
          <w:bCs/>
          <w:sz w:val="24"/>
          <w:szCs w:val="24"/>
        </w:rPr>
        <w:t xml:space="preserve">Scheduled Public Meeting:  </w:t>
      </w:r>
      <w:r w:rsidR="00576106" w:rsidRPr="007E2777">
        <w:rPr>
          <w:bCs/>
          <w:sz w:val="24"/>
          <w:szCs w:val="24"/>
        </w:rPr>
        <w:t>March 13, 2019, April 10, 2019 and May 17, 2019.</w:t>
      </w:r>
    </w:p>
    <w:p w14:paraId="5FA07BF8" w14:textId="77777777" w:rsidR="002B5C67" w:rsidRPr="007E2777" w:rsidRDefault="002B5C67">
      <w:pPr>
        <w:ind w:left="720"/>
        <w:rPr>
          <w:bCs/>
          <w:sz w:val="24"/>
          <w:szCs w:val="24"/>
        </w:rPr>
      </w:pPr>
    </w:p>
    <w:p w14:paraId="2AC0D57A" w14:textId="1612E820" w:rsidR="002B5C67" w:rsidRPr="007E2777" w:rsidRDefault="002B5C67">
      <w:pPr>
        <w:ind w:left="720"/>
        <w:rPr>
          <w:bCs/>
          <w:sz w:val="24"/>
          <w:szCs w:val="24"/>
        </w:rPr>
      </w:pPr>
      <w:r w:rsidRPr="007E2777">
        <w:rPr>
          <w:bCs/>
          <w:sz w:val="24"/>
          <w:szCs w:val="24"/>
        </w:rPr>
        <w:t xml:space="preserve">Copies of the </w:t>
      </w:r>
      <w:r w:rsidR="00157A80" w:rsidRPr="007E2777">
        <w:rPr>
          <w:bCs/>
          <w:sz w:val="24"/>
          <w:szCs w:val="24"/>
        </w:rPr>
        <w:t>Initial Study</w:t>
      </w:r>
      <w:r w:rsidRPr="007E2777">
        <w:rPr>
          <w:bCs/>
          <w:sz w:val="24"/>
          <w:szCs w:val="24"/>
        </w:rPr>
        <w:t xml:space="preserve"> and proposed </w:t>
      </w:r>
      <w:r w:rsidR="00576106" w:rsidRPr="007E2777">
        <w:rPr>
          <w:bCs/>
          <w:sz w:val="24"/>
          <w:szCs w:val="24"/>
        </w:rPr>
        <w:t>Safety Element</w:t>
      </w:r>
      <w:r w:rsidRPr="007E2777">
        <w:rPr>
          <w:bCs/>
          <w:sz w:val="24"/>
          <w:szCs w:val="24"/>
        </w:rPr>
        <w:t xml:space="preserve"> can be reviewed at the following locations:</w:t>
      </w:r>
    </w:p>
    <w:p w14:paraId="42CA70E1" w14:textId="77777777" w:rsidR="002B5C67" w:rsidRPr="007E2777" w:rsidRDefault="002B5C67">
      <w:pPr>
        <w:ind w:left="720"/>
        <w:rPr>
          <w:bCs/>
          <w:sz w:val="24"/>
          <w:szCs w:val="24"/>
        </w:rPr>
      </w:pPr>
    </w:p>
    <w:p w14:paraId="6B592D1F" w14:textId="5EC0B42B" w:rsidR="002B5C67" w:rsidRPr="007E2777" w:rsidRDefault="004553BA" w:rsidP="00157A80">
      <w:pPr>
        <w:ind w:left="1440"/>
        <w:rPr>
          <w:bCs/>
          <w:sz w:val="24"/>
          <w:szCs w:val="24"/>
        </w:rPr>
      </w:pPr>
      <w:r w:rsidRPr="007E2777">
        <w:rPr>
          <w:bCs/>
          <w:sz w:val="24"/>
          <w:szCs w:val="24"/>
        </w:rPr>
        <w:t>City</w:t>
      </w:r>
      <w:r w:rsidR="002B5C67" w:rsidRPr="007E2777">
        <w:rPr>
          <w:bCs/>
          <w:sz w:val="24"/>
          <w:szCs w:val="24"/>
        </w:rPr>
        <w:t xml:space="preserve"> Office –</w:t>
      </w:r>
      <w:r w:rsidR="00576106" w:rsidRPr="007E2777">
        <w:rPr>
          <w:bCs/>
          <w:sz w:val="24"/>
          <w:szCs w:val="24"/>
        </w:rPr>
        <w:t xml:space="preserve">5915 </w:t>
      </w:r>
      <w:r w:rsidRPr="007E2777">
        <w:rPr>
          <w:bCs/>
          <w:sz w:val="24"/>
          <w:szCs w:val="24"/>
        </w:rPr>
        <w:t>Dunsmuir Avenue, Dunsmuir, CA 96025</w:t>
      </w:r>
    </w:p>
    <w:p w14:paraId="3CA86200" w14:textId="79AB7E0B" w:rsidR="002B5C67" w:rsidRPr="007E2777" w:rsidRDefault="004553BA" w:rsidP="00157A80">
      <w:pPr>
        <w:ind w:left="1440"/>
        <w:rPr>
          <w:bCs/>
          <w:sz w:val="24"/>
          <w:szCs w:val="24"/>
        </w:rPr>
      </w:pPr>
      <w:r w:rsidRPr="007E2777">
        <w:rPr>
          <w:bCs/>
          <w:sz w:val="24"/>
          <w:szCs w:val="24"/>
        </w:rPr>
        <w:t>Dunsmuir</w:t>
      </w:r>
      <w:r w:rsidR="002B5C67" w:rsidRPr="007E2777">
        <w:rPr>
          <w:bCs/>
          <w:sz w:val="24"/>
          <w:szCs w:val="24"/>
        </w:rPr>
        <w:t xml:space="preserve"> Library </w:t>
      </w:r>
      <w:r w:rsidR="00157A80" w:rsidRPr="007E2777">
        <w:rPr>
          <w:bCs/>
          <w:sz w:val="24"/>
          <w:szCs w:val="24"/>
        </w:rPr>
        <w:t>5714</w:t>
      </w:r>
      <w:r w:rsidR="002B5C67" w:rsidRPr="007E2777">
        <w:rPr>
          <w:bCs/>
          <w:sz w:val="24"/>
          <w:szCs w:val="24"/>
        </w:rPr>
        <w:t xml:space="preserve"> </w:t>
      </w:r>
      <w:r w:rsidRPr="007E2777">
        <w:rPr>
          <w:bCs/>
          <w:sz w:val="24"/>
          <w:szCs w:val="24"/>
        </w:rPr>
        <w:t>Dunsmuir Avenue, Dunsmuir, CA 96025</w:t>
      </w:r>
    </w:p>
    <w:p w14:paraId="2EBDD17B" w14:textId="1EF7AE8A" w:rsidR="00ED38C6" w:rsidRDefault="00576106" w:rsidP="00ED38C6">
      <w:pPr>
        <w:ind w:left="720"/>
        <w:jc w:val="center"/>
        <w:rPr>
          <w:b/>
          <w:bCs/>
          <w:sz w:val="36"/>
          <w:szCs w:val="36"/>
        </w:rPr>
      </w:pPr>
      <w:bookmarkStart w:id="0" w:name="_GoBack"/>
      <w:r>
        <w:rPr>
          <w:b/>
          <w:bCs/>
          <w:noProof/>
          <w:sz w:val="36"/>
          <w:szCs w:val="36"/>
        </w:rPr>
        <w:lastRenderedPageBreak/>
        <w:drawing>
          <wp:inline distT="0" distB="0" distL="0" distR="0" wp14:anchorId="64892B0B" wp14:editId="3C10E66E">
            <wp:extent cx="6287081" cy="810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 use map.jpg"/>
                    <pic:cNvPicPr/>
                  </pic:nvPicPr>
                  <pic:blipFill>
                    <a:blip r:embed="rId6"/>
                    <a:stretch>
                      <a:fillRect/>
                    </a:stretch>
                  </pic:blipFill>
                  <pic:spPr>
                    <a:xfrm>
                      <a:off x="0" y="0"/>
                      <a:ext cx="6292195" cy="8112369"/>
                    </a:xfrm>
                    <a:prstGeom prst="rect">
                      <a:avLst/>
                    </a:prstGeom>
                  </pic:spPr>
                </pic:pic>
              </a:graphicData>
            </a:graphic>
          </wp:inline>
        </w:drawing>
      </w:r>
      <w:bookmarkEnd w:id="0"/>
    </w:p>
    <w:sectPr w:rsidR="00ED38C6" w:rsidSect="00C6537E">
      <w:headerReference w:type="default" r:id="rId7"/>
      <w:footerReference w:type="default" r:id="rId8"/>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993D9" w14:textId="77777777" w:rsidR="00831F8D" w:rsidRDefault="00831F8D" w:rsidP="002B5C67">
      <w:r>
        <w:separator/>
      </w:r>
    </w:p>
  </w:endnote>
  <w:endnote w:type="continuationSeparator" w:id="0">
    <w:p w14:paraId="23FC879C" w14:textId="77777777" w:rsidR="00831F8D" w:rsidRDefault="00831F8D" w:rsidP="002B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1048" w14:textId="77777777" w:rsidR="002B5C67" w:rsidRDefault="002B5C67">
    <w:pPr>
      <w:tabs>
        <w:tab w:val="center" w:pos="5760"/>
        <w:tab w:val="right" w:pos="1152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622AE" w14:textId="77777777" w:rsidR="00831F8D" w:rsidRDefault="00831F8D" w:rsidP="002B5C67">
      <w:r>
        <w:separator/>
      </w:r>
    </w:p>
  </w:footnote>
  <w:footnote w:type="continuationSeparator" w:id="0">
    <w:p w14:paraId="74369CE6" w14:textId="77777777" w:rsidR="00831F8D" w:rsidRDefault="00831F8D" w:rsidP="002B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5692" w14:textId="77777777" w:rsidR="002B5C67" w:rsidRDefault="002B5C67">
    <w:pPr>
      <w:tabs>
        <w:tab w:val="center" w:pos="5760"/>
        <w:tab w:val="right" w:pos="1152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B5C67"/>
    <w:rsid w:val="000B3CAA"/>
    <w:rsid w:val="00157A80"/>
    <w:rsid w:val="00275A85"/>
    <w:rsid w:val="002B5C67"/>
    <w:rsid w:val="002D6D48"/>
    <w:rsid w:val="004553BA"/>
    <w:rsid w:val="00576106"/>
    <w:rsid w:val="007071C7"/>
    <w:rsid w:val="007E2777"/>
    <w:rsid w:val="00831F8D"/>
    <w:rsid w:val="009929A1"/>
    <w:rsid w:val="00C6537E"/>
    <w:rsid w:val="00CA2B9C"/>
    <w:rsid w:val="00ED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E8B11"/>
  <w14:defaultImageDpi w14:val="0"/>
  <w15:docId w15:val="{15D18DA8-BEB8-4E0B-8711-4216F0F6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06"/>
    <w:rPr>
      <w:rFonts w:ascii="Segoe UI" w:hAnsi="Segoe UI" w:cs="Segoe UI"/>
      <w:kern w:val="28"/>
      <w:sz w:val="18"/>
      <w:szCs w:val="18"/>
    </w:rPr>
  </w:style>
  <w:style w:type="paragraph" w:styleId="Header">
    <w:name w:val="header"/>
    <w:basedOn w:val="Normal"/>
    <w:link w:val="HeaderChar"/>
    <w:uiPriority w:val="99"/>
    <w:unhideWhenUsed/>
    <w:rsid w:val="00275A85"/>
    <w:pPr>
      <w:tabs>
        <w:tab w:val="center" w:pos="4680"/>
        <w:tab w:val="right" w:pos="9360"/>
      </w:tabs>
    </w:pPr>
  </w:style>
  <w:style w:type="character" w:customStyle="1" w:styleId="HeaderChar">
    <w:name w:val="Header Char"/>
    <w:basedOn w:val="DefaultParagraphFont"/>
    <w:link w:val="Header"/>
    <w:uiPriority w:val="99"/>
    <w:rsid w:val="00275A85"/>
    <w:rPr>
      <w:rFonts w:ascii="Times New Roman" w:hAnsi="Times New Roman" w:cs="Times New Roman"/>
      <w:kern w:val="28"/>
      <w:sz w:val="20"/>
      <w:szCs w:val="20"/>
    </w:rPr>
  </w:style>
  <w:style w:type="paragraph" w:styleId="Footer">
    <w:name w:val="footer"/>
    <w:basedOn w:val="Normal"/>
    <w:link w:val="FooterChar"/>
    <w:uiPriority w:val="99"/>
    <w:unhideWhenUsed/>
    <w:rsid w:val="00275A85"/>
    <w:pPr>
      <w:tabs>
        <w:tab w:val="center" w:pos="4680"/>
        <w:tab w:val="right" w:pos="9360"/>
      </w:tabs>
    </w:pPr>
  </w:style>
  <w:style w:type="character" w:customStyle="1" w:styleId="FooterChar">
    <w:name w:val="Footer Char"/>
    <w:basedOn w:val="DefaultParagraphFont"/>
    <w:link w:val="Footer"/>
    <w:uiPriority w:val="99"/>
    <w:rsid w:val="00275A85"/>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Arlene Dinges</cp:lastModifiedBy>
  <cp:revision>6</cp:revision>
  <cp:lastPrinted>2019-03-20T00:42:00Z</cp:lastPrinted>
  <dcterms:created xsi:type="dcterms:W3CDTF">2019-03-20T00:07:00Z</dcterms:created>
  <dcterms:modified xsi:type="dcterms:W3CDTF">2019-03-20T00:56:00Z</dcterms:modified>
</cp:coreProperties>
</file>